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4EE" w:rsidRDefault="001074EE" w:rsidP="00FE76E4">
      <w:pPr>
        <w:pStyle w:val="a9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Тобольские учёные подвели итоги ежегодного </w:t>
      </w:r>
      <w:proofErr w:type="spellStart"/>
      <w:r>
        <w:rPr>
          <w:rFonts w:ascii="Arial" w:hAnsi="Arial" w:cs="Arial"/>
          <w:b/>
        </w:rPr>
        <w:t>экомони</w:t>
      </w:r>
      <w:r w:rsidR="00DC3A83">
        <w:rPr>
          <w:rFonts w:ascii="Arial" w:hAnsi="Arial" w:cs="Arial"/>
          <w:b/>
        </w:rPr>
        <w:t>торинга</w:t>
      </w:r>
      <w:proofErr w:type="spellEnd"/>
      <w:r w:rsidR="00DC3A83">
        <w:rPr>
          <w:rFonts w:ascii="Arial" w:hAnsi="Arial" w:cs="Arial"/>
          <w:b/>
        </w:rPr>
        <w:t xml:space="preserve"> флоры и фауны в окрестностях</w:t>
      </w:r>
      <w:r>
        <w:rPr>
          <w:rFonts w:ascii="Arial" w:hAnsi="Arial" w:cs="Arial"/>
          <w:b/>
        </w:rPr>
        <w:t xml:space="preserve"> промышленного завода-гиганта</w:t>
      </w:r>
    </w:p>
    <w:p w:rsidR="001074EE" w:rsidRDefault="001074EE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6B6767" w:rsidRDefault="001074EE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рамках </w:t>
      </w:r>
      <w:r w:rsidR="006B6767" w:rsidRPr="00DD6838">
        <w:rPr>
          <w:rFonts w:ascii="Arial" w:hAnsi="Arial" w:cs="Arial"/>
          <w:sz w:val="24"/>
          <w:szCs w:val="24"/>
        </w:rPr>
        <w:t>договора с ООО «</w:t>
      </w:r>
      <w:proofErr w:type="spellStart"/>
      <w:r w:rsidR="006B6767" w:rsidRPr="00DD6838">
        <w:rPr>
          <w:rFonts w:ascii="Arial" w:hAnsi="Arial" w:cs="Arial"/>
          <w:sz w:val="24"/>
          <w:szCs w:val="24"/>
        </w:rPr>
        <w:t>ЗапСибНефтехим</w:t>
      </w:r>
      <w:proofErr w:type="spellEnd"/>
      <w:r w:rsidR="006B6767" w:rsidRPr="00DD6838">
        <w:rPr>
          <w:rFonts w:ascii="Arial" w:hAnsi="Arial" w:cs="Arial"/>
          <w:sz w:val="24"/>
          <w:szCs w:val="24"/>
        </w:rPr>
        <w:t xml:space="preserve">» (далее Комплекс) с 2015 года биологи и химики Тобольской комплексной научной станции </w:t>
      </w:r>
      <w:proofErr w:type="spellStart"/>
      <w:r w:rsidR="00DD6838">
        <w:rPr>
          <w:rFonts w:ascii="Arial" w:hAnsi="Arial" w:cs="Arial"/>
          <w:sz w:val="24"/>
          <w:szCs w:val="24"/>
        </w:rPr>
        <w:t>УрО</w:t>
      </w:r>
      <w:proofErr w:type="spellEnd"/>
      <w:r w:rsidR="00DD6838">
        <w:rPr>
          <w:rFonts w:ascii="Arial" w:hAnsi="Arial" w:cs="Arial"/>
          <w:sz w:val="24"/>
          <w:szCs w:val="24"/>
        </w:rPr>
        <w:t xml:space="preserve"> РАН </w:t>
      </w:r>
      <w:r w:rsidR="006B6767" w:rsidRPr="00DD6838">
        <w:rPr>
          <w:rFonts w:ascii="Arial" w:hAnsi="Arial" w:cs="Arial"/>
          <w:sz w:val="24"/>
          <w:szCs w:val="24"/>
        </w:rPr>
        <w:t>проводят экологический мониторинг в лесах, прилегающих к Тобольской промышленной площадке и на лесных территориях, которые можно условно отнести к фоновым. Экологический мониторинг проводился как на стадии строительства Комплекса – с 2015 по 2020 годы, так и осуществляется в настоящее время, на стадии его эксплуатации, начиная с 2021 года.</w:t>
      </w:r>
      <w:r w:rsidR="00DD6838">
        <w:rPr>
          <w:rFonts w:ascii="Arial" w:hAnsi="Arial" w:cs="Arial"/>
          <w:sz w:val="24"/>
          <w:szCs w:val="24"/>
        </w:rPr>
        <w:t xml:space="preserve"> Его о</w:t>
      </w:r>
      <w:r w:rsidR="006B6767" w:rsidRPr="00DD6838">
        <w:rPr>
          <w:rFonts w:ascii="Arial" w:hAnsi="Arial" w:cs="Arial"/>
          <w:sz w:val="24"/>
          <w:szCs w:val="24"/>
        </w:rPr>
        <w:t>сновной целью является изучение биоразнообразия и почвенного покрова в прилегающих к Комплексу лесах, получение ответов на вопросы о том, как себя чувствуют растения, грибы, млекопитающие, птицы, беспозвоночные животные, как функционируют лесные экосистемы, находясь в непосредственной близости от нефтехимического производства, наносится ли вред почве.</w:t>
      </w:r>
    </w:p>
    <w:p w:rsidR="00DD6838" w:rsidRPr="00DD6838" w:rsidRDefault="00DD6838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82EAD" w:rsidRDefault="006B6767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Для этого с учетом методов и требований, установленных для проведения экологического мониторинга, еще на стадии строительства Комплекса в окружающих его лесах были выбраны так называемые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импактные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мониторинговые участки размером 1×1 км, в пределах которых заложены геоботанические площадки размером 20×20 м, где проводились регулярные исследования флористического состава, </w:t>
      </w:r>
      <w:proofErr w:type="spellStart"/>
      <w:r w:rsidRPr="00DD6838">
        <w:rPr>
          <w:rFonts w:ascii="Arial" w:hAnsi="Arial" w:cs="Arial"/>
          <w:sz w:val="24"/>
          <w:szCs w:val="24"/>
        </w:rPr>
        <w:t>микобиоты</w:t>
      </w:r>
      <w:proofErr w:type="spellEnd"/>
      <w:r w:rsidRPr="00DD6838">
        <w:rPr>
          <w:rFonts w:ascii="Arial" w:hAnsi="Arial" w:cs="Arial"/>
          <w:sz w:val="24"/>
          <w:szCs w:val="24"/>
        </w:rPr>
        <w:t>, состава и структуры фауны почвенных беспозвоночных животных, фенологического состояния растений, их морфологических характеристик. Для сравнения такой же цикл работ проводился на фоновых мониторинговых участках</w:t>
      </w:r>
      <w:r w:rsidRPr="00DD6838">
        <w:rPr>
          <w:rFonts w:ascii="Arial" w:hAnsi="Arial" w:cs="Arial"/>
          <w:iCs/>
          <w:sz w:val="24"/>
          <w:szCs w:val="24"/>
        </w:rPr>
        <w:t xml:space="preserve">, расположенных в лесных экосистемах на значительном расстоянии от Комплекса – </w:t>
      </w:r>
      <w:r w:rsidRPr="00DD6838">
        <w:rPr>
          <w:rFonts w:ascii="Arial" w:hAnsi="Arial" w:cs="Arial"/>
          <w:sz w:val="24"/>
          <w:szCs w:val="24"/>
        </w:rPr>
        <w:t>на удалении от 5</w:t>
      </w:r>
      <w:r w:rsidRPr="00DD6838">
        <w:rPr>
          <w:rFonts w:ascii="Arial" w:hAnsi="Arial" w:cs="Arial"/>
          <w:iCs/>
          <w:sz w:val="24"/>
          <w:szCs w:val="24"/>
        </w:rPr>
        <w:t xml:space="preserve"> до 12 км в северном и восточном направлениях. Фоновые участки подбирались таким образом, чтобы они максимально соответствовали </w:t>
      </w:r>
      <w:proofErr w:type="spellStart"/>
      <w:r w:rsidRPr="00DD6838">
        <w:rPr>
          <w:rFonts w:ascii="Arial" w:hAnsi="Arial" w:cs="Arial"/>
          <w:iCs/>
          <w:sz w:val="24"/>
          <w:szCs w:val="24"/>
        </w:rPr>
        <w:t>импактным</w:t>
      </w:r>
      <w:proofErr w:type="spellEnd"/>
      <w:r w:rsidRPr="00DD6838">
        <w:rPr>
          <w:rFonts w:ascii="Arial" w:hAnsi="Arial" w:cs="Arial"/>
          <w:iCs/>
          <w:sz w:val="24"/>
          <w:szCs w:val="24"/>
        </w:rPr>
        <w:t xml:space="preserve"> по характеру почвенно-растительного покрова. </w:t>
      </w:r>
      <w:r w:rsidRPr="00DD6838">
        <w:rPr>
          <w:rFonts w:ascii="Arial" w:hAnsi="Arial" w:cs="Arial"/>
          <w:sz w:val="24"/>
          <w:szCs w:val="24"/>
        </w:rPr>
        <w:t xml:space="preserve">Всего было выбрано 6 импактных мониторинговых площадок в пределах двух лесных участков (СМУ и ВМУ) и 6 фоновых мониторинговых площадок также на двух участках (СФУ и ВФУ). Мониторинговые участки с расположенными в их пределах геоботаническими площадками показаны на рисунке 1. 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40" cy="4051217"/>
            <wp:effectExtent l="0" t="0" r="0" b="6985"/>
            <wp:docPr id="1" name="Рисунок 1" descr="C:\Users\SYSADMIN\Desktop\8 февраля День науки\ЭКОМОНИТОРИНГ\Фото\рис 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8 февраля День науки\ЭКОМОНИТОРИНГ\Фото\рис 1 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а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00040" cy="2585300"/>
            <wp:effectExtent l="0" t="0" r="0" b="5715"/>
            <wp:docPr id="2" name="Рисунок 2" descr="C:\Users\SYSADMIN\Desktop\8 февраля День науки\ЭКОМОНИТОРИНГ\Фото\рис 1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IN\Desktop\8 февраля День науки\ЭКОМОНИТОРИНГ\Фото\рис 1 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б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40" cy="2597747"/>
            <wp:effectExtent l="0" t="0" r="0" b="0"/>
            <wp:docPr id="3" name="Рисунок 3" descr="C:\Users\SYSADMIN\Desktop\8 февраля День науки\ЭКОМОНИТОРИНГ\Фото\рис 1 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8 февраля День науки\ЭКОМОНИТОРИНГ\Фото\рис 1 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в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00040" cy="2511843"/>
            <wp:effectExtent l="0" t="0" r="0" b="3175"/>
            <wp:docPr id="4" name="Рисунок 4" descr="C:\Users\SYSADMIN\Desktop\8 февраля День науки\ЭКОМОНИТОРИНГ\Фото\рис 1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esktop\8 февраля День науки\ЭКОМОНИТОРИНГ\Фото\рис 1 г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г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00040" cy="2614846"/>
            <wp:effectExtent l="0" t="0" r="0" b="0"/>
            <wp:docPr id="5" name="Рисунок 5" descr="C:\Users\SYSADMIN\Desktop\8 февраля День науки\ЭКОМОНИТОРИНГ\Фото\рис 1 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esktop\8 февраля День науки\ЭКОМОНИТОРИНГ\Фото\рис 1 д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д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A2F22" w:rsidRPr="00EA2F22" w:rsidRDefault="00EA2F22" w:rsidP="00EA2F22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A2F22">
        <w:rPr>
          <w:rFonts w:ascii="Arial" w:hAnsi="Arial" w:cs="Arial"/>
          <w:color w:val="000000"/>
          <w:sz w:val="20"/>
          <w:szCs w:val="20"/>
        </w:rPr>
        <w:t xml:space="preserve">Рис. 1 </w:t>
      </w:r>
      <w:r w:rsidRPr="00EA2F22">
        <w:rPr>
          <w:rFonts w:ascii="Arial" w:hAnsi="Arial" w:cs="Arial"/>
          <w:sz w:val="20"/>
          <w:szCs w:val="20"/>
        </w:rPr>
        <w:t xml:space="preserve">– Расположение мониторинговых участков (а), северных </w:t>
      </w:r>
      <w:proofErr w:type="spellStart"/>
      <w:r w:rsidRPr="00EA2F22">
        <w:rPr>
          <w:rFonts w:ascii="Arial" w:hAnsi="Arial" w:cs="Arial"/>
          <w:sz w:val="20"/>
          <w:szCs w:val="20"/>
        </w:rPr>
        <w:t>импактных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мониторинговых площадок (б), восточных </w:t>
      </w:r>
      <w:proofErr w:type="spellStart"/>
      <w:r w:rsidRPr="00EA2F22">
        <w:rPr>
          <w:rFonts w:ascii="Arial" w:hAnsi="Arial" w:cs="Arial"/>
          <w:sz w:val="20"/>
          <w:szCs w:val="20"/>
        </w:rPr>
        <w:t>импактных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мониторинговых площадок (в), северных фоновых мониторинговых площадок (г), восточных фоновых мониторинговых площадок (д); </w:t>
      </w:r>
      <w:proofErr w:type="spellStart"/>
      <w:r w:rsidRPr="00EA2F22">
        <w:rPr>
          <w:rFonts w:ascii="Arial" w:hAnsi="Arial" w:cs="Arial"/>
          <w:sz w:val="20"/>
          <w:szCs w:val="20"/>
        </w:rPr>
        <w:t>СМУ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северный мониторинговый участок, </w:t>
      </w:r>
      <w:proofErr w:type="spellStart"/>
      <w:r w:rsidRPr="00EA2F22">
        <w:rPr>
          <w:rFonts w:ascii="Arial" w:hAnsi="Arial" w:cs="Arial"/>
          <w:sz w:val="20"/>
          <w:szCs w:val="20"/>
        </w:rPr>
        <w:t>ВМУ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восточный мониторинговый участок, </w:t>
      </w:r>
      <w:proofErr w:type="spellStart"/>
      <w:r w:rsidRPr="00EA2F22">
        <w:rPr>
          <w:rFonts w:ascii="Arial" w:hAnsi="Arial" w:cs="Arial"/>
          <w:sz w:val="20"/>
          <w:szCs w:val="20"/>
        </w:rPr>
        <w:t>СФУ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северный фоновый участок, </w:t>
      </w:r>
      <w:proofErr w:type="spellStart"/>
      <w:r w:rsidRPr="00EA2F22">
        <w:rPr>
          <w:rFonts w:ascii="Arial" w:hAnsi="Arial" w:cs="Arial"/>
          <w:sz w:val="20"/>
          <w:szCs w:val="20"/>
        </w:rPr>
        <w:t>ВФУ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восточный фоновый </w:t>
      </w:r>
      <w:r w:rsidRPr="00EA2F22">
        <w:rPr>
          <w:rFonts w:ascii="Arial" w:hAnsi="Arial" w:cs="Arial"/>
          <w:sz w:val="20"/>
          <w:szCs w:val="20"/>
        </w:rPr>
        <w:lastRenderedPageBreak/>
        <w:t xml:space="preserve">участок; </w:t>
      </w:r>
      <w:proofErr w:type="spellStart"/>
      <w:r w:rsidRPr="00EA2F22">
        <w:rPr>
          <w:rFonts w:ascii="Arial" w:hAnsi="Arial" w:cs="Arial"/>
          <w:sz w:val="20"/>
          <w:szCs w:val="20"/>
        </w:rPr>
        <w:t>СМ1</w:t>
      </w:r>
      <w:proofErr w:type="spellEnd"/>
      <w:r w:rsidRPr="00EA2F22">
        <w:rPr>
          <w:rFonts w:ascii="Arial" w:hAnsi="Arial" w:cs="Arial"/>
          <w:sz w:val="20"/>
          <w:szCs w:val="20"/>
        </w:rPr>
        <w:t>–</w:t>
      </w:r>
      <w:proofErr w:type="spellStart"/>
      <w:r w:rsidRPr="00EA2F22">
        <w:rPr>
          <w:rFonts w:ascii="Arial" w:hAnsi="Arial" w:cs="Arial"/>
          <w:sz w:val="20"/>
          <w:szCs w:val="20"/>
        </w:rPr>
        <w:t>СМ3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северные мониторинговые площадки, </w:t>
      </w:r>
      <w:proofErr w:type="spellStart"/>
      <w:r w:rsidRPr="00EA2F22">
        <w:rPr>
          <w:rFonts w:ascii="Arial" w:hAnsi="Arial" w:cs="Arial"/>
          <w:sz w:val="20"/>
          <w:szCs w:val="20"/>
        </w:rPr>
        <w:t>ВМ1</w:t>
      </w:r>
      <w:proofErr w:type="spellEnd"/>
      <w:r w:rsidRPr="00EA2F22">
        <w:rPr>
          <w:rFonts w:ascii="Arial" w:hAnsi="Arial" w:cs="Arial"/>
          <w:sz w:val="20"/>
          <w:szCs w:val="20"/>
        </w:rPr>
        <w:t>–</w:t>
      </w:r>
      <w:proofErr w:type="spellStart"/>
      <w:r w:rsidRPr="00EA2F22">
        <w:rPr>
          <w:rFonts w:ascii="Arial" w:hAnsi="Arial" w:cs="Arial"/>
          <w:sz w:val="20"/>
          <w:szCs w:val="20"/>
        </w:rPr>
        <w:t>ВМ3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восточные мониторинговые площадки, </w:t>
      </w:r>
      <w:proofErr w:type="spellStart"/>
      <w:r w:rsidRPr="00EA2F22">
        <w:rPr>
          <w:rFonts w:ascii="Arial" w:hAnsi="Arial" w:cs="Arial"/>
          <w:sz w:val="20"/>
          <w:szCs w:val="20"/>
        </w:rPr>
        <w:t>СФ1</w:t>
      </w:r>
      <w:proofErr w:type="spellEnd"/>
      <w:r w:rsidRPr="00EA2F22">
        <w:rPr>
          <w:rFonts w:ascii="Arial" w:hAnsi="Arial" w:cs="Arial"/>
          <w:sz w:val="20"/>
          <w:szCs w:val="20"/>
        </w:rPr>
        <w:t>–</w:t>
      </w:r>
      <w:proofErr w:type="spellStart"/>
      <w:r w:rsidRPr="00EA2F22">
        <w:rPr>
          <w:rFonts w:ascii="Arial" w:hAnsi="Arial" w:cs="Arial"/>
          <w:sz w:val="20"/>
          <w:szCs w:val="20"/>
        </w:rPr>
        <w:t>СФ3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северные фоновые площадки, </w:t>
      </w:r>
      <w:proofErr w:type="spellStart"/>
      <w:r w:rsidRPr="00EA2F22">
        <w:rPr>
          <w:rFonts w:ascii="Arial" w:hAnsi="Arial" w:cs="Arial"/>
          <w:sz w:val="20"/>
          <w:szCs w:val="20"/>
        </w:rPr>
        <w:t>ВФ1</w:t>
      </w:r>
      <w:proofErr w:type="spellEnd"/>
      <w:r w:rsidRPr="00EA2F22">
        <w:rPr>
          <w:rFonts w:ascii="Arial" w:hAnsi="Arial" w:cs="Arial"/>
          <w:sz w:val="20"/>
          <w:szCs w:val="20"/>
        </w:rPr>
        <w:t>–</w:t>
      </w:r>
      <w:proofErr w:type="spellStart"/>
      <w:r w:rsidRPr="00EA2F22">
        <w:rPr>
          <w:rFonts w:ascii="Arial" w:hAnsi="Arial" w:cs="Arial"/>
          <w:sz w:val="20"/>
          <w:szCs w:val="20"/>
        </w:rPr>
        <w:t>ВФ3</w:t>
      </w:r>
      <w:proofErr w:type="spellEnd"/>
      <w:r w:rsidRPr="00EA2F22">
        <w:rPr>
          <w:rFonts w:ascii="Arial" w:hAnsi="Arial" w:cs="Arial"/>
          <w:sz w:val="20"/>
          <w:szCs w:val="20"/>
        </w:rPr>
        <w:t xml:space="preserve"> – восточные фоновые площадки.</w:t>
      </w:r>
    </w:p>
    <w:p w:rsidR="00EA2F22" w:rsidRPr="00DD6838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A65C3" w:rsidRDefault="00DD6838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О</w:t>
      </w:r>
      <w:r w:rsidR="008660C9" w:rsidRPr="00DD6838">
        <w:rPr>
          <w:rFonts w:ascii="Arial" w:hAnsi="Arial" w:cs="Arial"/>
          <w:sz w:val="24"/>
          <w:szCs w:val="24"/>
        </w:rPr>
        <w:t>дним из важных биологических показателей, который характеризует качество жизни деревьев в лесу, является средний диаметр стволов деревьев. Для изучения многолетней динамики этого показателя все деревья на мониторинговых площадках были пронумерованы (рисунок 2). Измерения диаметров стволов всех деревьев на площадках проводятся ежегодно в сентябре, после завершения вегетационного сезона и активного роста деревьев.</w:t>
      </w:r>
      <w:r w:rsidR="00CA65C3" w:rsidRPr="00DD6838">
        <w:rPr>
          <w:rFonts w:ascii="Arial" w:hAnsi="Arial" w:cs="Arial"/>
          <w:sz w:val="24"/>
          <w:szCs w:val="24"/>
        </w:rPr>
        <w:t xml:space="preserve"> </w:t>
      </w:r>
    </w:p>
    <w:bookmarkEnd w:id="0"/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10000" cy="2876550"/>
            <wp:effectExtent l="0" t="0" r="0" b="0"/>
            <wp:docPr id="6" name="Рисунок 6" descr="C:\Users\SYSADMIN\Desktop\8 февраля День науки\ЭКОМОНИТОРИНГ\Фото\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esktop\8 февраля День науки\ЭКОМОНИТОРИНГ\Фото\рис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A2F22" w:rsidRPr="00EA2F22" w:rsidRDefault="00EA2F22" w:rsidP="00EA2F22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A2F22">
        <w:rPr>
          <w:rFonts w:ascii="Arial" w:hAnsi="Arial" w:cs="Arial"/>
          <w:sz w:val="20"/>
          <w:szCs w:val="20"/>
        </w:rPr>
        <w:t xml:space="preserve">Рис. 2 – Бирка с номером на стволе липы на площадке </w:t>
      </w:r>
      <w:proofErr w:type="spellStart"/>
      <w:r w:rsidRPr="00EA2F22">
        <w:rPr>
          <w:rFonts w:ascii="Arial" w:hAnsi="Arial" w:cs="Arial"/>
          <w:sz w:val="20"/>
          <w:szCs w:val="20"/>
        </w:rPr>
        <w:t>СМ3</w:t>
      </w:r>
      <w:proofErr w:type="spellEnd"/>
      <w:r w:rsidRPr="00EA2F22">
        <w:rPr>
          <w:rFonts w:ascii="Arial" w:hAnsi="Arial" w:cs="Arial"/>
          <w:sz w:val="20"/>
          <w:szCs w:val="20"/>
        </w:rPr>
        <w:t>, 13.09.2022.</w:t>
      </w:r>
    </w:p>
    <w:p w:rsidR="00EA2F22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EA2F22">
        <w:rPr>
          <w:rFonts w:ascii="Arial" w:hAnsi="Arial" w:cs="Arial"/>
          <w:sz w:val="20"/>
          <w:szCs w:val="20"/>
        </w:rPr>
        <w:t xml:space="preserve">Фото </w:t>
      </w:r>
      <w:proofErr w:type="spellStart"/>
      <w:r w:rsidRPr="00EA2F22">
        <w:rPr>
          <w:rFonts w:ascii="Arial" w:hAnsi="Arial" w:cs="Arial"/>
          <w:sz w:val="20"/>
          <w:szCs w:val="20"/>
        </w:rPr>
        <w:t>О.А</w:t>
      </w:r>
      <w:proofErr w:type="spellEnd"/>
      <w:r w:rsidRPr="00EA2F22">
        <w:rPr>
          <w:rFonts w:ascii="Arial" w:hAnsi="Arial" w:cs="Arial"/>
          <w:sz w:val="20"/>
          <w:szCs w:val="20"/>
        </w:rPr>
        <w:t>. Капитоновой</w:t>
      </w:r>
    </w:p>
    <w:p w:rsidR="00EA2F22" w:rsidRPr="00DD6838" w:rsidRDefault="00EA2F22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CA65C3" w:rsidRDefault="00CA65C3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В целом, ежегодно наблюдается положительная динамика радиального прироста деревьев на исследуемых геоботанических площадках, прилегающих к Комплексу, что указывает на благоприятные для роста деревьев условия. Однако, следует иметь в виду, что лес – это сложно устроенная экосистема, функционирующая в соответствии с комплексным действием большого количества экологических факторов, среди которых имеются как природные, так и антропогенные, как положительные, так и отрицательные. Например, шквалистый ветер или недостаток влаги в вегетационный сезон могут привести к гибели деревьев. Такие случаи фиксируется в ходе проведения мониторинга ежегодно. Например, в пределах ряда площадок, причем как импактных, так и фоновых, минувшим летом зарегистрированы факты гибели деревьев осины, липы, березы, сосны в результате ветровальных явлений и как следствие высыхания деревьев из-за недостатка дождей. </w:t>
      </w:r>
    </w:p>
    <w:p w:rsidR="0024670E" w:rsidRDefault="0024670E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24670E" w:rsidRPr="0024670E" w:rsidRDefault="0024670E" w:rsidP="00DD6838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</w:t>
      </w:r>
      <w:proofErr w:type="spellStart"/>
      <w:r>
        <w:rPr>
          <w:rFonts w:ascii="Arial" w:hAnsi="Arial" w:cs="Arial"/>
          <w:b/>
          <w:sz w:val="24"/>
          <w:szCs w:val="24"/>
        </w:rPr>
        <w:t>Краснокнижные</w:t>
      </w:r>
      <w:proofErr w:type="spellEnd"/>
      <w:r>
        <w:rPr>
          <w:rFonts w:ascii="Arial" w:hAnsi="Arial" w:cs="Arial"/>
          <w:b/>
          <w:sz w:val="24"/>
          <w:szCs w:val="24"/>
        </w:rPr>
        <w:t>» растения</w:t>
      </w:r>
    </w:p>
    <w:p w:rsidR="00CA65C3" w:rsidRDefault="00CA65C3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>Интересным фактом является обнаружение произрастания на лесных участках в окрестностях нефтехимического производства «</w:t>
      </w:r>
      <w:proofErr w:type="spellStart"/>
      <w:r w:rsidRPr="00DD6838">
        <w:rPr>
          <w:rFonts w:ascii="Arial" w:hAnsi="Arial" w:cs="Arial"/>
          <w:sz w:val="24"/>
          <w:szCs w:val="24"/>
        </w:rPr>
        <w:t>краснокнижных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» видов растений, что свидетельствует о благоприятных для них условиях. Так, в пределах мониторинговых площадок растут такие охраняемые на территории Тюменской области виды, как липа </w:t>
      </w:r>
      <w:r w:rsidRPr="00DD6838">
        <w:rPr>
          <w:rFonts w:ascii="Arial" w:hAnsi="Arial" w:cs="Arial"/>
          <w:sz w:val="24"/>
          <w:szCs w:val="24"/>
        </w:rPr>
        <w:lastRenderedPageBreak/>
        <w:t>сердцевидная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Tilia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cordata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  <w:lang w:val="en-US"/>
        </w:rPr>
        <w:t>Mill</w:t>
      </w:r>
      <w:r w:rsidRPr="00DD6838">
        <w:rPr>
          <w:rFonts w:ascii="Arial" w:hAnsi="Arial" w:cs="Arial"/>
          <w:sz w:val="24"/>
          <w:szCs w:val="24"/>
        </w:rPr>
        <w:t xml:space="preserve">.), редкий папоротник </w:t>
      </w:r>
      <w:proofErr w:type="spellStart"/>
      <w:r w:rsidRPr="00DD6838">
        <w:rPr>
          <w:rFonts w:ascii="Arial" w:hAnsi="Arial" w:cs="Arial"/>
          <w:sz w:val="24"/>
          <w:szCs w:val="24"/>
        </w:rPr>
        <w:t>гроздовник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виргинский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Botrychium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virginianum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DD6838">
        <w:rPr>
          <w:rFonts w:ascii="Arial" w:hAnsi="Arial" w:cs="Arial"/>
          <w:sz w:val="24"/>
          <w:szCs w:val="24"/>
          <w:lang w:val="en-US"/>
        </w:rPr>
        <w:t>Sw</w:t>
      </w:r>
      <w:proofErr w:type="spellEnd"/>
      <w:r w:rsidRPr="00DD6838">
        <w:rPr>
          <w:rFonts w:ascii="Arial" w:hAnsi="Arial" w:cs="Arial"/>
          <w:sz w:val="24"/>
          <w:szCs w:val="24"/>
        </w:rPr>
        <w:t>.), орхидеи гнездовка настоящая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Neottia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nidus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>-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avis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r w:rsidRPr="00DD6838">
        <w:rPr>
          <w:rFonts w:ascii="Arial" w:hAnsi="Arial" w:cs="Arial"/>
          <w:sz w:val="24"/>
          <w:szCs w:val="24"/>
          <w:lang w:val="en-US"/>
        </w:rPr>
        <w:t>Rich</w:t>
      </w:r>
      <w:r w:rsidRPr="00DD6838">
        <w:rPr>
          <w:rFonts w:ascii="Arial" w:hAnsi="Arial" w:cs="Arial"/>
          <w:sz w:val="24"/>
          <w:szCs w:val="24"/>
        </w:rPr>
        <w:t xml:space="preserve">.), </w:t>
      </w:r>
      <w:proofErr w:type="spellStart"/>
      <w:r w:rsidRPr="00DD6838">
        <w:rPr>
          <w:rFonts w:ascii="Arial" w:hAnsi="Arial" w:cs="Arial"/>
          <w:sz w:val="24"/>
          <w:szCs w:val="24"/>
        </w:rPr>
        <w:t>мякотница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однолистная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Malaxis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monophyllos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r w:rsidRPr="00DD6838">
        <w:rPr>
          <w:rFonts w:ascii="Arial" w:hAnsi="Arial" w:cs="Arial"/>
          <w:sz w:val="24"/>
          <w:szCs w:val="24"/>
          <w:lang w:val="en-US"/>
        </w:rPr>
        <w:t>Swartz</w:t>
      </w:r>
      <w:r w:rsidRPr="00DD6838">
        <w:rPr>
          <w:rFonts w:ascii="Arial" w:hAnsi="Arial" w:cs="Arial"/>
          <w:sz w:val="24"/>
          <w:szCs w:val="24"/>
        </w:rPr>
        <w:t>), тайник яйцевидный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Listera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ovata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r w:rsidRPr="00DD6838">
        <w:rPr>
          <w:rFonts w:ascii="Arial" w:hAnsi="Arial" w:cs="Arial"/>
          <w:sz w:val="24"/>
          <w:szCs w:val="24"/>
          <w:lang w:val="en-US"/>
        </w:rPr>
        <w:t>R</w:t>
      </w:r>
      <w:r w:rsidRPr="00DD6838">
        <w:rPr>
          <w:rFonts w:ascii="Arial" w:hAnsi="Arial" w:cs="Arial"/>
          <w:sz w:val="24"/>
          <w:szCs w:val="24"/>
        </w:rPr>
        <w:t xml:space="preserve">. </w:t>
      </w:r>
      <w:r w:rsidRPr="00DD6838">
        <w:rPr>
          <w:rFonts w:ascii="Arial" w:hAnsi="Arial" w:cs="Arial"/>
          <w:sz w:val="24"/>
          <w:szCs w:val="24"/>
          <w:lang w:val="en-US"/>
        </w:rPr>
        <w:t>Br</w:t>
      </w:r>
      <w:r w:rsidRPr="00DD6838">
        <w:rPr>
          <w:rFonts w:ascii="Arial" w:hAnsi="Arial" w:cs="Arial"/>
          <w:sz w:val="24"/>
          <w:szCs w:val="24"/>
        </w:rPr>
        <w:t xml:space="preserve">.). За границами геоботанических площадок, но в пределах мониторинговых участков обнаружен </w:t>
      </w:r>
      <w:proofErr w:type="spellStart"/>
      <w:r w:rsidRPr="00DD6838">
        <w:rPr>
          <w:rFonts w:ascii="Arial" w:hAnsi="Arial" w:cs="Arial"/>
          <w:sz w:val="24"/>
          <w:szCs w:val="24"/>
        </w:rPr>
        <w:t>еще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целый ряд видов, </w:t>
      </w:r>
      <w:proofErr w:type="spellStart"/>
      <w:r w:rsidRPr="00DD6838">
        <w:rPr>
          <w:rFonts w:ascii="Arial" w:hAnsi="Arial" w:cs="Arial"/>
          <w:sz w:val="24"/>
          <w:szCs w:val="24"/>
        </w:rPr>
        <w:t>занесенных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в региональную Красную книгу: папоротники </w:t>
      </w:r>
      <w:proofErr w:type="spellStart"/>
      <w:r w:rsidRPr="00DD6838">
        <w:rPr>
          <w:rFonts w:ascii="Arial" w:hAnsi="Arial" w:cs="Arial"/>
          <w:sz w:val="24"/>
          <w:szCs w:val="24"/>
        </w:rPr>
        <w:t>фегоптерис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связывающий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Phegopteris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connectilis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D6838">
        <w:rPr>
          <w:rFonts w:ascii="Arial" w:hAnsi="Arial" w:cs="Arial"/>
          <w:sz w:val="24"/>
          <w:szCs w:val="24"/>
          <w:lang w:val="en-US"/>
        </w:rPr>
        <w:t>Michx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.) </w:t>
      </w:r>
      <w:r w:rsidRPr="00DD6838">
        <w:rPr>
          <w:rFonts w:ascii="Arial" w:hAnsi="Arial" w:cs="Arial"/>
          <w:sz w:val="24"/>
          <w:szCs w:val="24"/>
          <w:lang w:val="en-US"/>
        </w:rPr>
        <w:t>Watt</w:t>
      </w:r>
      <w:r w:rsidRPr="00DD6838">
        <w:rPr>
          <w:rFonts w:ascii="Arial" w:hAnsi="Arial" w:cs="Arial"/>
          <w:sz w:val="24"/>
          <w:szCs w:val="24"/>
        </w:rPr>
        <w:t>) и щитовник мужской (</w:t>
      </w:r>
      <w:proofErr w:type="spellStart"/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Dryopteris</w:t>
      </w:r>
      <w:proofErr w:type="spellEnd"/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filix</w:t>
      </w:r>
      <w:proofErr w:type="spellEnd"/>
      <w:r w:rsidRPr="00DD6838">
        <w:rPr>
          <w:rFonts w:ascii="Arial" w:hAnsi="Arial" w:cs="Arial"/>
          <w:bCs/>
          <w:i/>
          <w:iCs/>
          <w:sz w:val="24"/>
          <w:szCs w:val="24"/>
        </w:rPr>
        <w:t>-</w:t>
      </w:r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mas</w:t>
      </w:r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DD6838">
        <w:rPr>
          <w:rFonts w:ascii="Arial" w:hAnsi="Arial" w:cs="Arial"/>
          <w:bCs/>
          <w:sz w:val="24"/>
          <w:szCs w:val="24"/>
        </w:rPr>
        <w:t>(</w:t>
      </w:r>
      <w:r w:rsidRPr="00DD6838">
        <w:rPr>
          <w:rFonts w:ascii="Arial" w:hAnsi="Arial" w:cs="Arial"/>
          <w:bCs/>
          <w:sz w:val="24"/>
          <w:szCs w:val="24"/>
          <w:lang w:val="en-US"/>
        </w:rPr>
        <w:t>L</w:t>
      </w:r>
      <w:r w:rsidRPr="00DD6838">
        <w:rPr>
          <w:rFonts w:ascii="Arial" w:hAnsi="Arial" w:cs="Arial"/>
          <w:bCs/>
          <w:sz w:val="24"/>
          <w:szCs w:val="24"/>
        </w:rPr>
        <w:t xml:space="preserve">.) </w:t>
      </w:r>
      <w:r w:rsidRPr="00DD6838">
        <w:rPr>
          <w:rFonts w:ascii="Arial" w:hAnsi="Arial" w:cs="Arial"/>
          <w:bCs/>
          <w:sz w:val="24"/>
          <w:szCs w:val="24"/>
          <w:lang w:val="en-US"/>
        </w:rPr>
        <w:t>Schott</w:t>
      </w:r>
      <w:r w:rsidRPr="00DD6838">
        <w:rPr>
          <w:rFonts w:ascii="Arial" w:hAnsi="Arial" w:cs="Arial"/>
          <w:bCs/>
          <w:sz w:val="24"/>
          <w:szCs w:val="24"/>
        </w:rPr>
        <w:t>)</w:t>
      </w:r>
      <w:r w:rsidRPr="00DD6838">
        <w:rPr>
          <w:rFonts w:ascii="Arial" w:hAnsi="Arial" w:cs="Arial"/>
          <w:sz w:val="24"/>
          <w:szCs w:val="24"/>
        </w:rPr>
        <w:t>, орхидеи венерин башмачок настоящий (</w:t>
      </w:r>
      <w:r w:rsidRPr="00DD6838">
        <w:rPr>
          <w:rFonts w:ascii="Arial" w:hAnsi="Arial" w:cs="Arial"/>
          <w:i/>
          <w:sz w:val="24"/>
          <w:szCs w:val="24"/>
          <w:lang w:val="en-US"/>
        </w:rPr>
        <w:t>Cypripedium</w:t>
      </w:r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calceolus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>.), венерин башмачок крапчатый (</w:t>
      </w:r>
      <w:r w:rsidRPr="00DD6838">
        <w:rPr>
          <w:rFonts w:ascii="Arial" w:hAnsi="Arial" w:cs="Arial"/>
          <w:i/>
          <w:sz w:val="24"/>
          <w:szCs w:val="24"/>
          <w:lang w:val="en-US"/>
        </w:rPr>
        <w:t>Cypripedium</w:t>
      </w:r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guttatum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  <w:lang w:val="en-US"/>
        </w:rPr>
        <w:t>Swartz</w:t>
      </w:r>
      <w:r w:rsidRPr="00DD6838">
        <w:rPr>
          <w:rFonts w:ascii="Arial" w:hAnsi="Arial" w:cs="Arial"/>
          <w:sz w:val="24"/>
          <w:szCs w:val="24"/>
        </w:rPr>
        <w:t>), а также лук мелкосетчатый, или черемша (</w:t>
      </w:r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Allium</w:t>
      </w:r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microdictyon</w:t>
      </w:r>
      <w:proofErr w:type="spellEnd"/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bCs/>
          <w:sz w:val="24"/>
          <w:szCs w:val="24"/>
          <w:lang w:val="en-US"/>
        </w:rPr>
        <w:t>Prokh</w:t>
      </w:r>
      <w:proofErr w:type="spellEnd"/>
      <w:r w:rsidRPr="00DD6838">
        <w:rPr>
          <w:rFonts w:ascii="Arial" w:hAnsi="Arial" w:cs="Arial"/>
          <w:bCs/>
          <w:sz w:val="24"/>
          <w:szCs w:val="24"/>
        </w:rPr>
        <w:t>.)</w:t>
      </w:r>
      <w:r w:rsidRPr="00DD6838">
        <w:rPr>
          <w:rFonts w:ascii="Arial" w:hAnsi="Arial" w:cs="Arial"/>
          <w:sz w:val="24"/>
          <w:szCs w:val="24"/>
        </w:rPr>
        <w:t>, борец вьющийся (</w:t>
      </w:r>
      <w:r w:rsidRPr="00DD6838">
        <w:rPr>
          <w:rFonts w:ascii="Arial" w:hAnsi="Arial" w:cs="Arial"/>
          <w:i/>
          <w:sz w:val="24"/>
          <w:szCs w:val="24"/>
          <w:lang w:val="en-US"/>
        </w:rPr>
        <w:t>Aconitum</w:t>
      </w:r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volubile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  <w:lang w:val="en-US"/>
        </w:rPr>
        <w:t>Pall</w:t>
      </w:r>
      <w:r w:rsidRPr="00DD6838">
        <w:rPr>
          <w:rFonts w:ascii="Arial" w:hAnsi="Arial" w:cs="Arial"/>
          <w:sz w:val="24"/>
          <w:szCs w:val="24"/>
        </w:rPr>
        <w:t xml:space="preserve">.), желтоцвет </w:t>
      </w:r>
      <w:proofErr w:type="spellStart"/>
      <w:r w:rsidRPr="00DD6838">
        <w:rPr>
          <w:rFonts w:ascii="Arial" w:hAnsi="Arial" w:cs="Arial"/>
          <w:sz w:val="24"/>
          <w:szCs w:val="24"/>
        </w:rPr>
        <w:t>апеннинский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Adonanthe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apennina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</w:rPr>
        <w:t>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DD6838">
        <w:rPr>
          <w:rFonts w:ascii="Arial" w:hAnsi="Arial" w:cs="Arial"/>
          <w:sz w:val="24"/>
          <w:szCs w:val="24"/>
          <w:lang w:val="en-US"/>
        </w:rPr>
        <w:t>Sennikov</w:t>
      </w:r>
      <w:proofErr w:type="spellEnd"/>
      <w:r w:rsidRPr="00DD6838">
        <w:rPr>
          <w:rFonts w:ascii="Arial" w:hAnsi="Arial" w:cs="Arial"/>
          <w:sz w:val="24"/>
          <w:szCs w:val="24"/>
        </w:rPr>
        <w:t>)</w:t>
      </w:r>
      <w:r w:rsidR="003D7EBB" w:rsidRPr="00DD6838">
        <w:rPr>
          <w:rFonts w:ascii="Arial" w:hAnsi="Arial" w:cs="Arial"/>
          <w:sz w:val="24"/>
          <w:szCs w:val="24"/>
        </w:rPr>
        <w:t xml:space="preserve"> (рисунок 3)</w:t>
      </w:r>
      <w:r w:rsidRPr="00DD6838">
        <w:rPr>
          <w:rFonts w:ascii="Arial" w:hAnsi="Arial" w:cs="Arial"/>
          <w:sz w:val="24"/>
          <w:szCs w:val="24"/>
        </w:rPr>
        <w:t>, хохлатка плотная (</w:t>
      </w:r>
      <w:r w:rsidRPr="00DD6838">
        <w:rPr>
          <w:rFonts w:ascii="Arial" w:hAnsi="Arial" w:cs="Arial"/>
          <w:i/>
          <w:sz w:val="24"/>
          <w:szCs w:val="24"/>
          <w:lang w:val="en-US"/>
        </w:rPr>
        <w:t>Corydalis</w:t>
      </w:r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  <w:lang w:val="en-US"/>
        </w:rPr>
        <w:t>solida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r w:rsidRPr="00DD6838">
        <w:rPr>
          <w:rFonts w:ascii="Arial" w:hAnsi="Arial" w:cs="Arial"/>
          <w:sz w:val="24"/>
          <w:szCs w:val="24"/>
        </w:rPr>
        <w:t>(</w:t>
      </w:r>
      <w:r w:rsidRPr="00DD6838">
        <w:rPr>
          <w:rFonts w:ascii="Arial" w:hAnsi="Arial" w:cs="Arial"/>
          <w:sz w:val="24"/>
          <w:szCs w:val="24"/>
          <w:lang w:val="en-US"/>
        </w:rPr>
        <w:t>L</w:t>
      </w:r>
      <w:r w:rsidRPr="00DD6838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DD6838">
        <w:rPr>
          <w:rFonts w:ascii="Arial" w:hAnsi="Arial" w:cs="Arial"/>
          <w:sz w:val="24"/>
          <w:szCs w:val="24"/>
          <w:lang w:val="en-US"/>
        </w:rPr>
        <w:t>Clairv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.). В ходе ежегодных наблюдений за </w:t>
      </w:r>
      <w:proofErr w:type="spellStart"/>
      <w:r w:rsidRPr="00DD6838">
        <w:rPr>
          <w:rFonts w:ascii="Arial" w:hAnsi="Arial" w:cs="Arial"/>
          <w:sz w:val="24"/>
          <w:szCs w:val="24"/>
        </w:rPr>
        <w:t>ценопопуляциями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DD6838">
        <w:rPr>
          <w:rFonts w:ascii="Arial" w:hAnsi="Arial" w:cs="Arial"/>
          <w:sz w:val="24"/>
          <w:szCs w:val="24"/>
        </w:rPr>
        <w:t>краснокнижных</w:t>
      </w:r>
      <w:proofErr w:type="spellEnd"/>
      <w:r w:rsidRPr="00DD6838">
        <w:rPr>
          <w:rFonts w:ascii="Arial" w:hAnsi="Arial" w:cs="Arial"/>
          <w:sz w:val="24"/>
          <w:szCs w:val="24"/>
        </w:rPr>
        <w:t>» видов установлено, что при соблюдении текущего состояния окружающей среды, им ничего не угрожает, растения хорошо себя чувствуют, цветут и плодоносят.</w:t>
      </w:r>
    </w:p>
    <w:p w:rsidR="00611F81" w:rsidRDefault="00611F81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611F81" w:rsidRDefault="00611F81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0400" cy="4257675"/>
            <wp:effectExtent l="0" t="0" r="0" b="9525"/>
            <wp:docPr id="7" name="Рисунок 7" descr="C:\Users\SYSADMIN\Desktop\8 февраля День науки\ЭКОМОНИТОРИНГ\Фото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ADMIN\Desktop\8 февраля День науки\ЭКОМОНИТОРИНГ\Фото\рис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81" w:rsidRDefault="00611F81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611F81" w:rsidRPr="00611F81" w:rsidRDefault="00611F81" w:rsidP="00611F81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611F81">
        <w:rPr>
          <w:rFonts w:ascii="Arial" w:hAnsi="Arial" w:cs="Arial"/>
          <w:sz w:val="20"/>
          <w:szCs w:val="20"/>
        </w:rPr>
        <w:t xml:space="preserve">Рис. 3 – Желтоцвет </w:t>
      </w:r>
      <w:proofErr w:type="spellStart"/>
      <w:r w:rsidRPr="00611F81">
        <w:rPr>
          <w:rFonts w:ascii="Arial" w:hAnsi="Arial" w:cs="Arial"/>
          <w:sz w:val="20"/>
          <w:szCs w:val="20"/>
        </w:rPr>
        <w:t>апеннинский</w:t>
      </w:r>
      <w:proofErr w:type="spellEnd"/>
      <w:r w:rsidRPr="00611F81">
        <w:rPr>
          <w:rFonts w:ascii="Arial" w:hAnsi="Arial" w:cs="Arial"/>
          <w:sz w:val="20"/>
          <w:szCs w:val="20"/>
        </w:rPr>
        <w:t xml:space="preserve"> на фоновом мониторинговом участке </w:t>
      </w:r>
      <w:proofErr w:type="spellStart"/>
      <w:r w:rsidRPr="00611F81">
        <w:rPr>
          <w:rFonts w:ascii="Arial" w:hAnsi="Arial" w:cs="Arial"/>
          <w:sz w:val="20"/>
          <w:szCs w:val="20"/>
        </w:rPr>
        <w:t>ВФУ</w:t>
      </w:r>
      <w:proofErr w:type="spellEnd"/>
      <w:r w:rsidRPr="00611F81">
        <w:rPr>
          <w:rFonts w:ascii="Arial" w:hAnsi="Arial" w:cs="Arial"/>
          <w:sz w:val="20"/>
          <w:szCs w:val="20"/>
        </w:rPr>
        <w:t xml:space="preserve"> в мае 2022 г. Фото </w:t>
      </w:r>
      <w:proofErr w:type="spellStart"/>
      <w:r w:rsidRPr="00611F81">
        <w:rPr>
          <w:rFonts w:ascii="Arial" w:hAnsi="Arial" w:cs="Arial"/>
          <w:sz w:val="20"/>
          <w:szCs w:val="20"/>
        </w:rPr>
        <w:t>О.А</w:t>
      </w:r>
      <w:proofErr w:type="spellEnd"/>
      <w:r w:rsidRPr="00611F81">
        <w:rPr>
          <w:rFonts w:ascii="Arial" w:hAnsi="Arial" w:cs="Arial"/>
          <w:sz w:val="20"/>
          <w:szCs w:val="20"/>
        </w:rPr>
        <w:t>. Капитоновой</w:t>
      </w:r>
    </w:p>
    <w:p w:rsidR="0024670E" w:rsidRDefault="0024670E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24670E" w:rsidRPr="0024670E" w:rsidRDefault="0024670E" w:rsidP="00DD6838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Состав </w:t>
      </w:r>
      <w:proofErr w:type="spellStart"/>
      <w:r>
        <w:rPr>
          <w:rFonts w:ascii="Arial" w:hAnsi="Arial" w:cs="Arial"/>
          <w:b/>
          <w:sz w:val="24"/>
          <w:szCs w:val="24"/>
        </w:rPr>
        <w:t>макромицетов</w:t>
      </w:r>
      <w:proofErr w:type="spellEnd"/>
    </w:p>
    <w:p w:rsidR="002F43AB" w:rsidRPr="00DD6838" w:rsidRDefault="002F43AB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Хорошим показателем экологического состояния лесных экосистем является состав и структура грибного населения – </w:t>
      </w:r>
      <w:proofErr w:type="spellStart"/>
      <w:r w:rsidRPr="00DD6838">
        <w:rPr>
          <w:rFonts w:ascii="Arial" w:hAnsi="Arial" w:cs="Arial"/>
          <w:sz w:val="24"/>
          <w:szCs w:val="24"/>
        </w:rPr>
        <w:t>микобиоты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. В 2022 г. на импактных и фоновых мониторинговых площадках в общей сложности выявлено 218 видов сумчатых и </w:t>
      </w:r>
      <w:proofErr w:type="spellStart"/>
      <w:r w:rsidRPr="00DD6838">
        <w:rPr>
          <w:rFonts w:ascii="Arial" w:hAnsi="Arial" w:cs="Arial"/>
          <w:sz w:val="24"/>
          <w:szCs w:val="24"/>
        </w:rPr>
        <w:t>базидиальных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грибов, что сопоставимо с результатами прошлогодних мониторинговых исследований (222 вида). </w:t>
      </w:r>
      <w:r w:rsidR="000F0B19" w:rsidRPr="00DD6838">
        <w:rPr>
          <w:rFonts w:ascii="Arial" w:hAnsi="Arial" w:cs="Arial"/>
          <w:sz w:val="24"/>
          <w:szCs w:val="24"/>
        </w:rPr>
        <w:lastRenderedPageBreak/>
        <w:t xml:space="preserve">Выявлены и новые виды, которые не регистрировались на площадках ранее. Так, в 2022 г. впервые на мониторинговых площадках обнаружено 28 видов </w:t>
      </w:r>
      <w:proofErr w:type="spellStart"/>
      <w:r w:rsidR="000F0B19" w:rsidRPr="00DD6838">
        <w:rPr>
          <w:rFonts w:ascii="Arial" w:hAnsi="Arial" w:cs="Arial"/>
          <w:sz w:val="24"/>
          <w:szCs w:val="24"/>
        </w:rPr>
        <w:t>макромицетов</w:t>
      </w:r>
      <w:proofErr w:type="spellEnd"/>
      <w:r w:rsidR="000F0B19" w:rsidRPr="00DD6838">
        <w:rPr>
          <w:rFonts w:ascii="Arial" w:hAnsi="Arial" w:cs="Arial"/>
          <w:sz w:val="24"/>
          <w:szCs w:val="24"/>
        </w:rPr>
        <w:t xml:space="preserve"> (крупных, видимых </w:t>
      </w:r>
      <w:proofErr w:type="spellStart"/>
      <w:r w:rsidR="000F0B19" w:rsidRPr="00DD6838">
        <w:rPr>
          <w:rFonts w:ascii="Arial" w:hAnsi="Arial" w:cs="Arial"/>
          <w:sz w:val="24"/>
          <w:szCs w:val="24"/>
        </w:rPr>
        <w:t>невооруженным</w:t>
      </w:r>
      <w:proofErr w:type="spellEnd"/>
      <w:r w:rsidR="000F0B19" w:rsidRPr="00DD6838">
        <w:rPr>
          <w:rFonts w:ascii="Arial" w:hAnsi="Arial" w:cs="Arial"/>
          <w:sz w:val="24"/>
          <w:szCs w:val="24"/>
        </w:rPr>
        <w:t xml:space="preserve"> глазом грибов).</w:t>
      </w:r>
    </w:p>
    <w:p w:rsidR="002F43AB" w:rsidRPr="00DD6838" w:rsidRDefault="002F43AB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Наибольшее количество видов </w:t>
      </w:r>
      <w:proofErr w:type="spellStart"/>
      <w:r w:rsidRPr="00DD6838">
        <w:rPr>
          <w:rFonts w:ascii="Arial" w:hAnsi="Arial" w:cs="Arial"/>
          <w:sz w:val="24"/>
          <w:szCs w:val="24"/>
        </w:rPr>
        <w:t>макромицетов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отмечено на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импактной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площадке ВМ1, занятой участком леса с доминированием в составе древостоя осины – 50 видов. Самый низкий показатель видового богатства </w:t>
      </w:r>
      <w:proofErr w:type="spellStart"/>
      <w:r w:rsidRPr="00DD6838">
        <w:rPr>
          <w:rFonts w:ascii="Arial" w:hAnsi="Arial" w:cs="Arial"/>
          <w:sz w:val="24"/>
          <w:szCs w:val="24"/>
        </w:rPr>
        <w:t>микобиоты</w:t>
      </w:r>
      <w:proofErr w:type="spellEnd"/>
      <w:r w:rsidRPr="00DD6838">
        <w:rPr>
          <w:rFonts w:ascii="Arial" w:hAnsi="Arial" w:cs="Arial"/>
          <w:sz w:val="24"/>
          <w:szCs w:val="24"/>
        </w:rPr>
        <w:t>, как и в прошлом сезоне, отмечен на площадке ВФ3, расположенной на участке березняка разнотравно-</w:t>
      </w:r>
      <w:proofErr w:type="spellStart"/>
      <w:r w:rsidRPr="00DD6838">
        <w:rPr>
          <w:rFonts w:ascii="Arial" w:hAnsi="Arial" w:cs="Arial"/>
          <w:sz w:val="24"/>
          <w:szCs w:val="24"/>
        </w:rPr>
        <w:t>осочкового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– 21 вид. Выявленные различия в структуре и динамике видового разнообразия грибных сообществ на мониторинговых площадках обусловлены в основном </w:t>
      </w:r>
      <w:proofErr w:type="spellStart"/>
      <w:r w:rsidRPr="00DD6838">
        <w:rPr>
          <w:rFonts w:ascii="Arial" w:hAnsi="Arial" w:cs="Arial"/>
          <w:sz w:val="24"/>
          <w:szCs w:val="24"/>
        </w:rPr>
        <w:t>биотопическими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различиями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импактных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и фоновых площадок, а также цикличностью плодоношения отдельных видов макромицетов.</w:t>
      </w:r>
    </w:p>
    <w:p w:rsidR="002F43AB" w:rsidRPr="00DD6838" w:rsidRDefault="002F43AB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Cs/>
          <w:iCs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В ходе микологических исследований выявлено 10 индикаторных и специализированных видов </w:t>
      </w:r>
      <w:proofErr w:type="spellStart"/>
      <w:r w:rsidRPr="00DD6838">
        <w:rPr>
          <w:rFonts w:ascii="Arial" w:hAnsi="Arial" w:cs="Arial"/>
          <w:sz w:val="24"/>
          <w:szCs w:val="24"/>
        </w:rPr>
        <w:t>макромицетов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, из которых </w:t>
      </w:r>
      <w:r w:rsidRPr="00DD6838">
        <w:rPr>
          <w:rFonts w:ascii="Arial" w:hAnsi="Arial" w:cs="Arial"/>
          <w:color w:val="2C2D2E"/>
          <w:sz w:val="24"/>
          <w:szCs w:val="24"/>
          <w:shd w:val="clear" w:color="auto" w:fill="FFFFFF"/>
        </w:rPr>
        <w:t>трутовик виноградный</w:t>
      </w:r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Phellinus</w:t>
      </w:r>
      <w:proofErr w:type="spellEnd"/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bCs/>
          <w:i/>
          <w:iCs/>
          <w:sz w:val="24"/>
          <w:szCs w:val="24"/>
          <w:lang w:val="en-US"/>
        </w:rPr>
        <w:t>viticola</w:t>
      </w:r>
      <w:proofErr w:type="spellEnd"/>
      <w:r w:rsidRPr="00DD683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DD6838">
        <w:rPr>
          <w:rFonts w:ascii="Arial" w:hAnsi="Arial" w:cs="Arial"/>
          <w:bCs/>
          <w:iCs/>
          <w:sz w:val="24"/>
          <w:szCs w:val="24"/>
        </w:rPr>
        <w:t xml:space="preserve">впервые отмечен на </w:t>
      </w:r>
      <w:r w:rsidRPr="00DD6838">
        <w:rPr>
          <w:rFonts w:ascii="Arial" w:hAnsi="Arial" w:cs="Arial"/>
          <w:sz w:val="24"/>
          <w:szCs w:val="24"/>
        </w:rPr>
        <w:t>мониторинговых площадках</w:t>
      </w:r>
      <w:r w:rsidRPr="00DD6838">
        <w:rPr>
          <w:rFonts w:ascii="Arial" w:hAnsi="Arial" w:cs="Arial"/>
          <w:bCs/>
          <w:iCs/>
          <w:sz w:val="24"/>
          <w:szCs w:val="24"/>
        </w:rPr>
        <w:t>.</w:t>
      </w:r>
    </w:p>
    <w:p w:rsidR="002F43AB" w:rsidRDefault="002F43AB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Из числа охраняемых видов грибов на восточном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импактном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участке (площадка </w:t>
      </w:r>
      <w:proofErr w:type="spellStart"/>
      <w:r w:rsidRPr="00DD6838">
        <w:rPr>
          <w:rFonts w:ascii="Arial" w:hAnsi="Arial" w:cs="Arial"/>
          <w:sz w:val="24"/>
          <w:szCs w:val="24"/>
        </w:rPr>
        <w:t>ВМ1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) отмечен </w:t>
      </w:r>
      <w:proofErr w:type="spellStart"/>
      <w:r w:rsidRPr="00DD6838">
        <w:rPr>
          <w:rFonts w:ascii="Arial" w:hAnsi="Arial" w:cs="Arial"/>
          <w:sz w:val="24"/>
          <w:szCs w:val="24"/>
        </w:rPr>
        <w:t>фаволус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sz w:val="24"/>
          <w:szCs w:val="24"/>
        </w:rPr>
        <w:t>ложноберезовый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D6838">
        <w:rPr>
          <w:rFonts w:ascii="Arial" w:hAnsi="Arial" w:cs="Arial"/>
          <w:i/>
          <w:sz w:val="24"/>
          <w:szCs w:val="24"/>
        </w:rPr>
        <w:t>Favolus</w:t>
      </w:r>
      <w:proofErr w:type="spellEnd"/>
      <w:r w:rsidRPr="00DD683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DD6838">
        <w:rPr>
          <w:rFonts w:ascii="Arial" w:hAnsi="Arial" w:cs="Arial"/>
          <w:i/>
          <w:sz w:val="24"/>
          <w:szCs w:val="24"/>
        </w:rPr>
        <w:t>pseudobetulinus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), занесенный в Красную книгу Тюменской области.   </w:t>
      </w:r>
    </w:p>
    <w:p w:rsidR="0024670E" w:rsidRDefault="0024670E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24670E" w:rsidRPr="0024670E" w:rsidRDefault="0024670E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</w:t>
      </w:r>
      <w:r w:rsidRPr="0024670E">
        <w:rPr>
          <w:rFonts w:ascii="Arial" w:hAnsi="Arial" w:cs="Arial"/>
          <w:b/>
          <w:sz w:val="24"/>
          <w:szCs w:val="24"/>
        </w:rPr>
        <w:t>остояни</w:t>
      </w:r>
      <w:r>
        <w:rPr>
          <w:rFonts w:ascii="Arial" w:hAnsi="Arial" w:cs="Arial"/>
          <w:b/>
          <w:sz w:val="24"/>
          <w:szCs w:val="24"/>
        </w:rPr>
        <w:t>е</w:t>
      </w:r>
      <w:r w:rsidRPr="0024670E">
        <w:rPr>
          <w:rFonts w:ascii="Arial" w:hAnsi="Arial" w:cs="Arial"/>
          <w:b/>
          <w:sz w:val="24"/>
          <w:szCs w:val="24"/>
        </w:rPr>
        <w:t xml:space="preserve"> почвенной </w:t>
      </w:r>
      <w:proofErr w:type="spellStart"/>
      <w:r w:rsidRPr="0024670E">
        <w:rPr>
          <w:rFonts w:ascii="Arial" w:hAnsi="Arial" w:cs="Arial"/>
          <w:b/>
          <w:sz w:val="24"/>
          <w:szCs w:val="24"/>
        </w:rPr>
        <w:t>мезофауны</w:t>
      </w:r>
      <w:proofErr w:type="spellEnd"/>
    </w:p>
    <w:p w:rsidR="003D7628" w:rsidRPr="00DD6838" w:rsidRDefault="0024670E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Его п</w:t>
      </w:r>
      <w:r w:rsidR="003D7628" w:rsidRPr="00DD6838">
        <w:rPr>
          <w:rFonts w:ascii="Arial" w:hAnsi="Arial" w:cs="Arial"/>
          <w:sz w:val="24"/>
          <w:szCs w:val="24"/>
        </w:rPr>
        <w:t>оказатели также демонстрируют вполне благоприятн</w:t>
      </w:r>
      <w:r>
        <w:rPr>
          <w:rFonts w:ascii="Arial" w:hAnsi="Arial" w:cs="Arial"/>
          <w:sz w:val="24"/>
          <w:szCs w:val="24"/>
        </w:rPr>
        <w:t>ые условия существования. За всё</w:t>
      </w:r>
      <w:r w:rsidR="003D7628" w:rsidRPr="00DD6838">
        <w:rPr>
          <w:rFonts w:ascii="Arial" w:hAnsi="Arial" w:cs="Arial"/>
          <w:sz w:val="24"/>
          <w:szCs w:val="24"/>
        </w:rPr>
        <w:t xml:space="preserve"> время наблюдений выявлено, что фауна почвенных беспозвоночных животных импактных и фоновых мониторинговых участков представлена всеми основными таксономическими группами. За период исследований с 2015 по 2022 гг. выявлено 152 вида, относящихся к 58 семействам, 12 отрядам и 6 классам. Каждый год этот список пополняется за счёт более длительных (многолетних) мониторинговых исследований.</w:t>
      </w:r>
    </w:p>
    <w:p w:rsidR="003D7628" w:rsidRPr="00DD6838" w:rsidRDefault="003D7628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В пределах каждого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импактного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и фонового мониторингового участков обитает от 84 до 95 видов почвенных беспозвоночных животных. Максимальное видовое разнообразие почвенной </w:t>
      </w:r>
      <w:proofErr w:type="spellStart"/>
      <w:r w:rsidRPr="00DD6838">
        <w:rPr>
          <w:rFonts w:ascii="Arial" w:hAnsi="Arial" w:cs="Arial"/>
          <w:sz w:val="24"/>
          <w:szCs w:val="24"/>
        </w:rPr>
        <w:t>мезофауны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отмечено в березняках – на мониторинговых площадках СФ1, ВМ3 и ВФ3.</w:t>
      </w:r>
    </w:p>
    <w:p w:rsidR="003D7628" w:rsidRPr="00DD6838" w:rsidRDefault="003D7628" w:rsidP="00DD6838">
      <w:pPr>
        <w:spacing w:after="0" w:line="240" w:lineRule="auto"/>
        <w:ind w:firstLine="284"/>
        <w:jc w:val="both"/>
        <w:rPr>
          <w:rFonts w:ascii="Arial" w:hAnsi="Arial" w:cs="Arial"/>
          <w:bCs/>
          <w:sz w:val="24"/>
          <w:szCs w:val="24"/>
        </w:rPr>
      </w:pPr>
      <w:r w:rsidRPr="00DD6838">
        <w:rPr>
          <w:rFonts w:ascii="Arial" w:hAnsi="Arial" w:cs="Arial"/>
          <w:bCs/>
          <w:sz w:val="24"/>
          <w:szCs w:val="24"/>
        </w:rPr>
        <w:t>В трофической структуре почвенных беспозвоночных животных выявлено три основных группы: сапрофаги, фитофаги и зоофаги (хищники). По классическим представлениям, в естественных ненарушенных биоценозах доля сапрофагов должна составлять не менее 60 %. Показано, что большинство импактных и фоновых мониторинговых площадок соответствует этому критерию, особенно выделяются осинники и березняки – площадки СМ2, СФ1 и ВМ1, где на долю сапрофагов в среднем (за восемь лет) приходится от 80 до 93 %.</w:t>
      </w:r>
    </w:p>
    <w:p w:rsidR="00695AB2" w:rsidRDefault="003D7628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bCs/>
          <w:sz w:val="24"/>
          <w:szCs w:val="24"/>
        </w:rPr>
        <w:t>За весь период исследования (2015</w:t>
      </w:r>
      <w:r w:rsidRPr="00DD6838">
        <w:rPr>
          <w:rFonts w:ascii="Arial" w:hAnsi="Arial" w:cs="Arial"/>
          <w:sz w:val="24"/>
          <w:szCs w:val="24"/>
        </w:rPr>
        <w:t>–</w:t>
      </w:r>
      <w:r w:rsidR="00FC1FA6" w:rsidRPr="00DD6838">
        <w:rPr>
          <w:rFonts w:ascii="Arial" w:hAnsi="Arial" w:cs="Arial"/>
          <w:bCs/>
          <w:sz w:val="24"/>
          <w:szCs w:val="24"/>
        </w:rPr>
        <w:t>2022 годы</w:t>
      </w:r>
      <w:r w:rsidRPr="00DD6838">
        <w:rPr>
          <w:rFonts w:ascii="Arial" w:hAnsi="Arial" w:cs="Arial"/>
          <w:bCs/>
          <w:sz w:val="24"/>
          <w:szCs w:val="24"/>
        </w:rPr>
        <w:t>) на всех мониторинговых площадках превалировали обитатели верхнего горизонта почвы (подстилки), что вполне закономерно и является следствием ненарушенности напочвенного покрова лесных экосистем.</w:t>
      </w:r>
      <w:r w:rsidRPr="00DD6838">
        <w:rPr>
          <w:rFonts w:ascii="Arial" w:hAnsi="Arial" w:cs="Arial"/>
          <w:sz w:val="24"/>
          <w:szCs w:val="24"/>
        </w:rPr>
        <w:t xml:space="preserve"> Каких-либо уродств у беспозвоночных животных, которые свидетельствовали бы о влиянии негативных факторов окружающей среды, не выявлено.</w:t>
      </w:r>
    </w:p>
    <w:p w:rsidR="00EF307C" w:rsidRDefault="00EF307C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F307C" w:rsidRPr="00EF307C" w:rsidRDefault="00EF307C" w:rsidP="00DD6838">
      <w:pPr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Мониторинг орнитофауны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В течение всего времени осуществления мониторинговых работ на территории участков проводились орнитологические исследования. </w:t>
      </w:r>
      <w:r w:rsidRPr="00DD6838">
        <w:rPr>
          <w:rFonts w:ascii="Arial" w:hAnsi="Arial" w:cs="Arial"/>
          <w:sz w:val="24"/>
          <w:szCs w:val="24"/>
        </w:rPr>
        <w:lastRenderedPageBreak/>
        <w:t xml:space="preserve">Известно, что видовое богатство орнитофауны каких-либо участков определяется </w:t>
      </w:r>
      <w:proofErr w:type="spellStart"/>
      <w:r w:rsidRPr="00DD6838">
        <w:rPr>
          <w:rFonts w:ascii="Arial" w:hAnsi="Arial" w:cs="Arial"/>
          <w:sz w:val="24"/>
          <w:szCs w:val="24"/>
        </w:rPr>
        <w:t>биотопическими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особенностями территории, обусловленными комплексом естественных (рельеф местности, наличие водоемов и водотоков, породный состав древостоя лесных участков) и антропогенных (вырубка и искусственная посадка леса, сельскохозяйственное освоение территории и прекращение обработки полей) факторов. Неизбежные </w:t>
      </w:r>
      <w:proofErr w:type="spellStart"/>
      <w:r w:rsidRPr="00DD6838">
        <w:rPr>
          <w:rFonts w:ascii="Arial" w:hAnsi="Arial" w:cs="Arial"/>
          <w:sz w:val="24"/>
          <w:szCs w:val="24"/>
        </w:rPr>
        <w:t>биотопические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различия между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импактными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и фоновыми мониторинговыми участками на прилегающих к Комплексу территориях не позволяют сделать вывод относительно влияния производственных процессов на видовое разнообразие птиц. В 2022 г. на обследованных участках зарегистрировано 76 видов птиц, в том числе на СМУ – 43, на СФУ – 56, на ВМУ – 52, на ВФУ – 44.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>Многолетний мониторинг орнитофауны контрольных участков демонстрирует значительную межгодовую изменчивость видового состава. Обнаруженные на мониторинговых участках в 2022 г. птицы составляют 60–70 % от общего количества видов, зарегистрированных на этих же участках на протяжении предыдущих лет исследований. На каждом контрольном участке ежегодно регистрируются прежде не отмеченные здесь виды. Так, в минувшем году на СМУ обнаружено 5 новых видов птиц, на СФУ – 11, на ВМУ – 4, на ВФУ – 8.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В структуре сообществ птиц мониторинговых участков доминируют виды лесной и опушечной эколого-фаунистической групп. Выявлено, что в связи с увеличивающимся </w:t>
      </w:r>
      <w:proofErr w:type="spellStart"/>
      <w:r w:rsidRPr="00DD6838">
        <w:rPr>
          <w:rFonts w:ascii="Arial" w:hAnsi="Arial" w:cs="Arial"/>
          <w:sz w:val="24"/>
          <w:szCs w:val="24"/>
        </w:rPr>
        <w:t>биотопическим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разнообразием и фрагментацией лесных площадей в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импактной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зоне в сообществах птиц возрастает доля видов, характерных для открытых местообитаний – опушечных, луговых, водно-болотных. Наиболее высокая доля нелесных видов отмечена на ВМУ.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>В населении птиц всех контрольных участков доминирует зяблик. Среди многочисленных видов на СМУ, СФУ преобладают лесные птицы (пеночка-</w:t>
      </w:r>
      <w:proofErr w:type="spellStart"/>
      <w:r w:rsidRPr="00DD6838">
        <w:rPr>
          <w:rFonts w:ascii="Arial" w:hAnsi="Arial" w:cs="Arial"/>
          <w:sz w:val="24"/>
          <w:szCs w:val="24"/>
        </w:rPr>
        <w:t>теньковка</w:t>
      </w:r>
      <w:proofErr w:type="spellEnd"/>
      <w:r w:rsidRPr="00DD6838">
        <w:rPr>
          <w:rFonts w:ascii="Arial" w:hAnsi="Arial" w:cs="Arial"/>
          <w:sz w:val="24"/>
          <w:szCs w:val="24"/>
        </w:rPr>
        <w:t>, мухоловка-пеструшка, горихвостка-</w:t>
      </w:r>
      <w:proofErr w:type="spellStart"/>
      <w:r w:rsidRPr="00DD6838">
        <w:rPr>
          <w:rFonts w:ascii="Arial" w:hAnsi="Arial" w:cs="Arial"/>
          <w:sz w:val="24"/>
          <w:szCs w:val="24"/>
        </w:rPr>
        <w:t>лысушка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и др.). На ВМУ и ВФУ помимо лесных птиц (пеночка-</w:t>
      </w:r>
      <w:proofErr w:type="spellStart"/>
      <w:r w:rsidRPr="00DD6838">
        <w:rPr>
          <w:rFonts w:ascii="Arial" w:hAnsi="Arial" w:cs="Arial"/>
          <w:sz w:val="24"/>
          <w:szCs w:val="24"/>
        </w:rPr>
        <w:t>теньковка</w:t>
      </w:r>
      <w:proofErr w:type="spellEnd"/>
      <w:r w:rsidRPr="00DD6838">
        <w:rPr>
          <w:rFonts w:ascii="Arial" w:hAnsi="Arial" w:cs="Arial"/>
          <w:sz w:val="24"/>
          <w:szCs w:val="24"/>
        </w:rPr>
        <w:t>, снегирь и др.), высокую численность имеют опушечные виды (садовая славка, садовая камышевка, серая славка, рябинник, пеночка-</w:t>
      </w:r>
      <w:proofErr w:type="spellStart"/>
      <w:r w:rsidRPr="00DD6838">
        <w:rPr>
          <w:rFonts w:ascii="Arial" w:hAnsi="Arial" w:cs="Arial"/>
          <w:sz w:val="24"/>
          <w:szCs w:val="24"/>
        </w:rPr>
        <w:t>весничка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и др.). Отмечено наличие в составе орнитофауны импактных участков видов, уязвимых к антропогенному и техногенному воздействию (наземно-гнездящиеся, охотничье-промысловые, хищные птицы), что свидетельствует об умеренном уровне негативного влияния на природные сообщества. Доля уязвимых видов в составе орнитофауны импактных и фоновых участков не различается. Гнездящиеся на земле и в кустарниках птицы составляют 35–40 % видового состава территории.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Факультативно-синантропные виды птиц малочисленны в сообществах </w:t>
      </w:r>
      <w:proofErr w:type="spellStart"/>
      <w:r w:rsidRPr="00DD6838">
        <w:rPr>
          <w:rFonts w:ascii="Arial" w:hAnsi="Arial" w:cs="Arial"/>
          <w:sz w:val="24"/>
          <w:szCs w:val="24"/>
        </w:rPr>
        <w:t>импактной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зоны, а на фоновых участках встречены лишь на пролете (СФУ) или не зарегистрированы совсем (ВФУ). Показатели обилия такого факультативно-синантропного вида, как серая ворона в 2022 г. в сравнении с 2020 г. имеют существенно более низкие значения: на СМУ – 1,0 особей/км</w:t>
      </w:r>
      <w:r w:rsidRPr="00DD6838">
        <w:rPr>
          <w:rFonts w:ascii="Arial" w:hAnsi="Arial" w:cs="Arial"/>
          <w:sz w:val="24"/>
          <w:szCs w:val="24"/>
          <w:vertAlign w:val="superscript"/>
        </w:rPr>
        <w:t>2</w:t>
      </w:r>
      <w:r w:rsidRPr="00DD6838">
        <w:rPr>
          <w:rFonts w:ascii="Arial" w:hAnsi="Arial" w:cs="Arial"/>
          <w:sz w:val="24"/>
          <w:szCs w:val="24"/>
        </w:rPr>
        <w:t xml:space="preserve"> (в 2020 г. – 9,8 особей/км</w:t>
      </w:r>
      <w:r w:rsidRPr="00DD6838">
        <w:rPr>
          <w:rFonts w:ascii="Arial" w:hAnsi="Arial" w:cs="Arial"/>
          <w:sz w:val="24"/>
          <w:szCs w:val="24"/>
          <w:vertAlign w:val="superscript"/>
        </w:rPr>
        <w:t>2</w:t>
      </w:r>
      <w:r w:rsidRPr="00DD6838">
        <w:rPr>
          <w:rFonts w:ascii="Arial" w:hAnsi="Arial" w:cs="Arial"/>
          <w:sz w:val="24"/>
          <w:szCs w:val="24"/>
        </w:rPr>
        <w:t>), на ВМУ – 3,1 особей/км</w:t>
      </w:r>
      <w:r w:rsidRPr="00DD6838">
        <w:rPr>
          <w:rFonts w:ascii="Arial" w:hAnsi="Arial" w:cs="Arial"/>
          <w:sz w:val="24"/>
          <w:szCs w:val="24"/>
          <w:vertAlign w:val="superscript"/>
        </w:rPr>
        <w:t>2</w:t>
      </w:r>
      <w:r w:rsidRPr="00DD6838">
        <w:rPr>
          <w:rFonts w:ascii="Arial" w:hAnsi="Arial" w:cs="Arial"/>
          <w:sz w:val="24"/>
          <w:szCs w:val="24"/>
        </w:rPr>
        <w:t xml:space="preserve"> (в 2020 г. – 11,8 особей/км</w:t>
      </w:r>
      <w:r w:rsidRPr="00DD6838">
        <w:rPr>
          <w:rFonts w:ascii="Arial" w:hAnsi="Arial" w:cs="Arial"/>
          <w:sz w:val="24"/>
          <w:szCs w:val="24"/>
          <w:vertAlign w:val="superscript"/>
        </w:rPr>
        <w:t>2</w:t>
      </w:r>
      <w:r w:rsidRPr="00DD6838">
        <w:rPr>
          <w:rFonts w:ascii="Arial" w:hAnsi="Arial" w:cs="Arial"/>
          <w:sz w:val="24"/>
          <w:szCs w:val="24"/>
        </w:rPr>
        <w:t>). Отрицательная динамика численности серой вороны связана с резким сокращением количества кормовых ресурсов в результате ликвидации вахтового городка строителей. Над открытыми местообитаниями ВМУ зарегистрированы охотящиеся деревенские ласточки и воронки, которые являются облигатно-синантропными видами.</w:t>
      </w:r>
    </w:p>
    <w:p w:rsidR="00A04FCD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lastRenderedPageBreak/>
        <w:t>В 2022 г. на ВМУ и СФУ обнаружено пребывание редкого охраняемого вида хищных птиц – осоеда, который занесен в Красную книгу Тюменской области. Предполагается его гнездование на самих участках или в их непосредственной близости.</w:t>
      </w:r>
    </w:p>
    <w:p w:rsidR="00EF307C" w:rsidRDefault="00EF307C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EF307C" w:rsidRPr="00EF307C" w:rsidRDefault="00EF307C" w:rsidP="00DD6838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Мелкие млекопитающие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pacing w:val="-2"/>
          <w:sz w:val="24"/>
          <w:szCs w:val="24"/>
        </w:rPr>
      </w:pPr>
      <w:r w:rsidRPr="00DD6838">
        <w:rPr>
          <w:rFonts w:ascii="Arial" w:hAnsi="Arial" w:cs="Arial"/>
          <w:spacing w:val="-2"/>
          <w:sz w:val="24"/>
          <w:szCs w:val="24"/>
        </w:rPr>
        <w:t xml:space="preserve">При проведении мониторинговых исследований в качестве индикаторных видов широко используются мелкие млекопитающие животные. В 2022 г. в ходе выполнения мониторинговых работ на импактных и фоновых площадках выявлено обитание 8 видов мелких млекопитающих, принадлежащих к двум отрядам: насекомоядные (бурозубки обыкновенная, средняя и малая) и грызуны (полевки рыжая, красная, темная и обыкновенная, мышь-малютка). </w:t>
      </w:r>
      <w:r w:rsidRPr="00DD6838">
        <w:rPr>
          <w:rFonts w:ascii="Arial" w:hAnsi="Arial" w:cs="Arial"/>
          <w:sz w:val="24"/>
          <w:szCs w:val="24"/>
        </w:rPr>
        <w:t xml:space="preserve">Впервые в составе изученных </w:t>
      </w:r>
      <w:proofErr w:type="spellStart"/>
      <w:r w:rsidRPr="00DD6838">
        <w:rPr>
          <w:rFonts w:ascii="Arial" w:hAnsi="Arial" w:cs="Arial"/>
          <w:sz w:val="24"/>
          <w:szCs w:val="24"/>
        </w:rPr>
        <w:t>териокомплексов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отмечена обыкновенная </w:t>
      </w:r>
      <w:proofErr w:type="spellStart"/>
      <w:r w:rsidRPr="00DD6838">
        <w:rPr>
          <w:rFonts w:ascii="Arial" w:hAnsi="Arial" w:cs="Arial"/>
          <w:sz w:val="24"/>
          <w:szCs w:val="24"/>
        </w:rPr>
        <w:t>полевка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, которая является факультативным синантропным видом и в условиях таежной зоны населяет преимущественно </w:t>
      </w:r>
      <w:proofErr w:type="spellStart"/>
      <w:r w:rsidRPr="00DD6838">
        <w:rPr>
          <w:rFonts w:ascii="Arial" w:hAnsi="Arial" w:cs="Arial"/>
          <w:sz w:val="24"/>
          <w:szCs w:val="24"/>
        </w:rPr>
        <w:t>антропогенно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трансформированные местообитания.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Такие виды, как рыжая полевка и обыкновенная бурозубка в районе проведения исследований являются фоновыми, доминирующими в составе населения мелких млекопитающих и во многом определяющими основные структурно-функциональные параметры локальных фаунистических комплексов. </w:t>
      </w:r>
    </w:p>
    <w:p w:rsidR="00A04FCD" w:rsidRPr="00DD6838" w:rsidRDefault="00A04FCD" w:rsidP="00DD6838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sz w:val="24"/>
          <w:szCs w:val="24"/>
        </w:rPr>
        <w:t xml:space="preserve">Наблюдаемые различия в структуре населения и показателях относительной численности населения мелких млекопитающих на импактных и фоновых мониторинговых площадках в основном связаны с </w:t>
      </w:r>
      <w:proofErr w:type="spellStart"/>
      <w:r w:rsidRPr="00DD6838">
        <w:rPr>
          <w:rFonts w:ascii="Arial" w:hAnsi="Arial" w:cs="Arial"/>
          <w:sz w:val="24"/>
          <w:szCs w:val="24"/>
        </w:rPr>
        <w:t>биотопической</w:t>
      </w:r>
      <w:proofErr w:type="spellEnd"/>
      <w:r w:rsidRPr="00DD6838">
        <w:rPr>
          <w:rFonts w:ascii="Arial" w:hAnsi="Arial" w:cs="Arial"/>
          <w:sz w:val="24"/>
          <w:szCs w:val="24"/>
        </w:rPr>
        <w:t xml:space="preserve"> неоднородностью местообитаний, а также биологическими особенностями отдельных видов. </w:t>
      </w:r>
    </w:p>
    <w:p w:rsidR="009218E2" w:rsidRDefault="009218E2" w:rsidP="00DD6838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  <w:r w:rsidRPr="00DD6838">
        <w:rPr>
          <w:rFonts w:ascii="Arial" w:hAnsi="Arial" w:cs="Arial"/>
          <w:color w:val="000000"/>
          <w:sz w:val="24"/>
          <w:szCs w:val="24"/>
        </w:rPr>
        <w:t>Данные экологического мониторинга, полученные в 2022 г., позволяют сделать вывод о том, что эксплуатация Комплекса</w:t>
      </w:r>
      <w:r w:rsidRPr="00DD6838">
        <w:rPr>
          <w:rFonts w:ascii="Arial" w:hAnsi="Arial" w:cs="Arial"/>
          <w:bCs/>
          <w:color w:val="000000"/>
          <w:sz w:val="24"/>
          <w:szCs w:val="24"/>
        </w:rPr>
        <w:t xml:space="preserve"> в течение 2021</w:t>
      </w:r>
      <w:r w:rsidRPr="00DD6838">
        <w:rPr>
          <w:rFonts w:ascii="Arial" w:hAnsi="Arial" w:cs="Arial"/>
          <w:sz w:val="24"/>
          <w:szCs w:val="24"/>
        </w:rPr>
        <w:t>–2022 годов</w:t>
      </w:r>
      <w:r w:rsidRPr="00DD683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DD6838">
        <w:rPr>
          <w:rFonts w:ascii="Arial" w:hAnsi="Arial" w:cs="Arial"/>
          <w:color w:val="000000"/>
          <w:sz w:val="24"/>
          <w:szCs w:val="24"/>
        </w:rPr>
        <w:t xml:space="preserve">не имеет выраженного негативного антропогенного влияния на </w:t>
      </w:r>
      <w:proofErr w:type="spellStart"/>
      <w:r w:rsidRPr="00DD6838">
        <w:rPr>
          <w:rFonts w:ascii="Arial" w:hAnsi="Arial" w:cs="Arial"/>
          <w:color w:val="000000"/>
          <w:sz w:val="24"/>
          <w:szCs w:val="24"/>
        </w:rPr>
        <w:t>биоту</w:t>
      </w:r>
      <w:proofErr w:type="spellEnd"/>
      <w:r w:rsidRPr="00DD6838">
        <w:rPr>
          <w:rFonts w:ascii="Arial" w:hAnsi="Arial" w:cs="Arial"/>
          <w:color w:val="000000"/>
          <w:sz w:val="24"/>
          <w:szCs w:val="24"/>
        </w:rPr>
        <w:t xml:space="preserve"> и почвы лесных массивов, прилегающих к Комплексу.</w:t>
      </w:r>
    </w:p>
    <w:p w:rsidR="00EF307C" w:rsidRDefault="00EF307C" w:rsidP="00DD6838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1074EE" w:rsidRDefault="001074EE" w:rsidP="00DD6838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1074EE" w:rsidRPr="00DD6838" w:rsidRDefault="001074EE" w:rsidP="00DD6838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218E2" w:rsidRPr="00DD6838" w:rsidRDefault="009218E2" w:rsidP="00DD6838">
      <w:pPr>
        <w:spacing w:after="0" w:line="240" w:lineRule="auto"/>
        <w:ind w:firstLine="284"/>
        <w:jc w:val="both"/>
        <w:rPr>
          <w:rFonts w:ascii="Arial" w:hAnsi="Arial" w:cs="Arial"/>
          <w:color w:val="000000"/>
        </w:rPr>
      </w:pPr>
    </w:p>
    <w:p w:rsidR="009218E2" w:rsidRPr="00DD6838" w:rsidRDefault="009218E2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A04FCD" w:rsidRPr="00DD6838" w:rsidRDefault="00A04FCD" w:rsidP="00DD683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DD6838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A04FCD" w:rsidRPr="008C5F54" w:rsidRDefault="00A04FCD" w:rsidP="00A04F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FCD" w:rsidRPr="00A05FBD" w:rsidRDefault="00A04FCD" w:rsidP="00A04F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04FCD" w:rsidRPr="006B6767" w:rsidRDefault="00A04FCD" w:rsidP="00A04FCD">
      <w:pPr>
        <w:rPr>
          <w:rFonts w:ascii="Times New Roman" w:hAnsi="Times New Roman" w:cs="Times New Roman"/>
          <w:sz w:val="24"/>
          <w:szCs w:val="24"/>
        </w:rPr>
      </w:pPr>
    </w:p>
    <w:sectPr w:rsidR="00A04FCD" w:rsidRPr="006B6767" w:rsidSect="00DD6838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0D0"/>
    <w:rsid w:val="000B2A54"/>
    <w:rsid w:val="000F0B19"/>
    <w:rsid w:val="001074EE"/>
    <w:rsid w:val="0024670E"/>
    <w:rsid w:val="002F43AB"/>
    <w:rsid w:val="003D7628"/>
    <w:rsid w:val="003D7EBB"/>
    <w:rsid w:val="005754FF"/>
    <w:rsid w:val="00611F81"/>
    <w:rsid w:val="00695AB2"/>
    <w:rsid w:val="006B6767"/>
    <w:rsid w:val="007175A7"/>
    <w:rsid w:val="007B6B6E"/>
    <w:rsid w:val="008269D9"/>
    <w:rsid w:val="008660C9"/>
    <w:rsid w:val="008A0B3B"/>
    <w:rsid w:val="009218E2"/>
    <w:rsid w:val="00A04FCD"/>
    <w:rsid w:val="00BD224A"/>
    <w:rsid w:val="00CA65C3"/>
    <w:rsid w:val="00DC3A83"/>
    <w:rsid w:val="00DD6838"/>
    <w:rsid w:val="00E82EAD"/>
    <w:rsid w:val="00EA2F22"/>
    <w:rsid w:val="00EF10D0"/>
    <w:rsid w:val="00EF307C"/>
    <w:rsid w:val="00F113CF"/>
    <w:rsid w:val="00FC1FA6"/>
    <w:rsid w:val="00FE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1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A04FC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04FC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04FC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04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4FCD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10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1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A04FC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04FC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04FC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04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4FCD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10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2070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Першин</cp:lastModifiedBy>
  <cp:revision>10</cp:revision>
  <dcterms:created xsi:type="dcterms:W3CDTF">2023-01-31T09:00:00Z</dcterms:created>
  <dcterms:modified xsi:type="dcterms:W3CDTF">2023-02-01T09:29:00Z</dcterms:modified>
</cp:coreProperties>
</file>